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88" w:rsidRDefault="008D6B0F">
      <w:pPr>
        <w:rPr>
          <w:b/>
          <w:u w:val="single"/>
        </w:rPr>
      </w:pPr>
      <w:r w:rsidRPr="00A041AE">
        <w:rPr>
          <w:b/>
          <w:u w:val="single"/>
        </w:rPr>
        <w:t xml:space="preserve">GP </w:t>
      </w:r>
      <w:r>
        <w:rPr>
          <w:b/>
          <w:u w:val="single"/>
        </w:rPr>
        <w:t>Returner Short</w:t>
      </w:r>
      <w:r w:rsidRPr="00A041AE">
        <w:rPr>
          <w:b/>
          <w:u w:val="single"/>
        </w:rPr>
        <w:t xml:space="preserve"> Induction </w:t>
      </w:r>
      <w:r>
        <w:rPr>
          <w:b/>
          <w:u w:val="single"/>
        </w:rPr>
        <w:t>&amp; Doctors doing the Enhanced Induction Programme -</w:t>
      </w:r>
      <w:r>
        <w:rPr>
          <w:b/>
          <w:noProof/>
          <w:u w:val="single"/>
          <w:lang w:eastAsia="en-GB"/>
        </w:rPr>
        <w:t xml:space="preserve"> </w:t>
      </w:r>
      <w:r w:rsidR="0088263E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8029575</wp:posOffset>
            </wp:positionH>
            <wp:positionV relativeFrom="paragraph">
              <wp:posOffset>-152400</wp:posOffset>
            </wp:positionV>
            <wp:extent cx="695325" cy="695325"/>
            <wp:effectExtent l="19050" t="0" r="9525" b="0"/>
            <wp:wrapThrough wrapText="bothSides">
              <wp:wrapPolygon edited="0">
                <wp:start x="-592" y="0"/>
                <wp:lineTo x="-592" y="21304"/>
                <wp:lineTo x="21896" y="21304"/>
                <wp:lineTo x="21896" y="0"/>
                <wp:lineTo x="-592" y="0"/>
              </wp:wrapPolygon>
            </wp:wrapThrough>
            <wp:docPr id="7" name="irc_mi" descr="http://www.nesdentalcpd.co.uk/theme/scotland_esp/pix/layout/header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esdentalcpd.co.uk/theme/scotland_esp/pix/layout/header/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63E" w:rsidRPr="00A041AE">
        <w:rPr>
          <w:b/>
          <w:u w:val="single"/>
        </w:rPr>
        <w:t>Suggested Topics and Resources</w:t>
      </w:r>
    </w:p>
    <w:p w:rsidR="00000222" w:rsidRDefault="00A041AE">
      <w:r>
        <w:t>This document provides a suggest</w:t>
      </w:r>
      <w:r w:rsidR="00DD114C">
        <w:t>ed</w:t>
      </w:r>
      <w:r>
        <w:t xml:space="preserve"> list of topics to </w:t>
      </w:r>
      <w:r w:rsidR="006C5920">
        <w:t>cover in a short induction for</w:t>
      </w:r>
      <w:r>
        <w:t xml:space="preserve"> GP</w:t>
      </w:r>
      <w:r w:rsidR="006C5920">
        <w:t>s</w:t>
      </w:r>
      <w:r>
        <w:t xml:space="preserve"> returning to Scottish General Practice</w:t>
      </w:r>
      <w:r w:rsidR="008D6B0F">
        <w:t xml:space="preserve">. It also includes resources relevant to doctors doing the Enhanced Induction Programme. </w:t>
      </w:r>
      <w:r>
        <w:t>It is designed to be used by Local Health Board</w:t>
      </w:r>
      <w:r w:rsidR="006C5920">
        <w:t>s</w:t>
      </w:r>
      <w:r>
        <w:t xml:space="preserve"> and GP practice</w:t>
      </w:r>
      <w:r w:rsidR="006C5920">
        <w:t>s</w:t>
      </w:r>
      <w:r>
        <w:t xml:space="preserve"> as well as by the GP </w:t>
      </w:r>
      <w:r w:rsidR="00DD114C">
        <w:t>undergoing induction – some of links in the Resource section may be useful for the GP to look at prior to starting induction</w:t>
      </w:r>
      <w:r w:rsidR="0088263E">
        <w:t xml:space="preserve"> and essential training is included</w:t>
      </w:r>
      <w:r w:rsidR="00DD114C">
        <w:t xml:space="preserve">. </w:t>
      </w:r>
      <w:r w:rsidR="00000222">
        <w:t xml:space="preserve"> Some elements of this document may be well known to returning GPs so it may not be necessary to cover all areas.</w:t>
      </w:r>
    </w:p>
    <w:tbl>
      <w:tblPr>
        <w:tblStyle w:val="TableGrid"/>
        <w:tblW w:w="0" w:type="auto"/>
        <w:tblLayout w:type="fixed"/>
        <w:tblLook w:val="04A0"/>
      </w:tblPr>
      <w:tblGrid>
        <w:gridCol w:w="3936"/>
        <w:gridCol w:w="9639"/>
      </w:tblGrid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An Introduction to Scotland</w:t>
            </w:r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  <w:shd w:val="clear" w:color="auto" w:fill="FFFFFF" w:themeFill="background1"/>
          </w:tcPr>
          <w:p w:rsidR="00000222" w:rsidRPr="004D42F2" w:rsidRDefault="00000222" w:rsidP="003575B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Living and working in Scotland</w:t>
            </w:r>
          </w:p>
        </w:tc>
        <w:tc>
          <w:tcPr>
            <w:tcW w:w="9639" w:type="dxa"/>
            <w:shd w:val="clear" w:color="auto" w:fill="FFFFFF" w:themeFill="background1"/>
          </w:tcPr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="00000222"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http://www.scotland.org/live-and-work-in-scotland/living-in-scotland/</w:t>
              </w:r>
            </w:hyperlink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An Introduction to the NHS in Scotland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  <w:shd w:val="clear" w:color="auto" w:fill="FFFFFF" w:themeFill="background1"/>
          </w:tcPr>
          <w:p w:rsidR="00000222" w:rsidRPr="00821A06" w:rsidRDefault="00000222" w:rsidP="00821A0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NHS Scotland – Introduction to NHS in Scotlan</w:t>
            </w:r>
            <w:r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9639" w:type="dxa"/>
            <w:shd w:val="clear" w:color="auto" w:fill="FFFFFF" w:themeFill="background1"/>
          </w:tcPr>
          <w:p w:rsidR="00000222" w:rsidRDefault="005E514E">
            <w:hyperlink r:id="rId10" w:history="1">
              <w:r w:rsidR="00000222"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http://www.gov.scot/Topics/Health/About/NHS-Scotland</w:t>
              </w:r>
            </w:hyperlink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="00000222"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http://www.gmc-uk.org/doctors/WelcomeUK.asp</w:t>
              </w:r>
            </w:hyperlink>
            <w:r w:rsidR="0000022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The GMC &amp; Good Medical Practice</w:t>
            </w:r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0222" w:rsidRDefault="00000222" w:rsidP="00821A0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GMC Good Medical Practice</w:t>
            </w:r>
          </w:p>
          <w:p w:rsidR="00000222" w:rsidRDefault="00000222" w:rsidP="00821A0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GMC – Welcome to the UK</w:t>
            </w:r>
          </w:p>
          <w:p w:rsidR="00000222" w:rsidRPr="00821A06" w:rsidRDefault="00000222" w:rsidP="00ED5D1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821A06">
              <w:rPr>
                <w:rFonts w:cstheme="minorHAnsi"/>
                <w:sz w:val="16"/>
                <w:szCs w:val="16"/>
              </w:rPr>
              <w:t>What makes a good doctor</w:t>
            </w:r>
          </w:p>
          <w:p w:rsidR="00000222" w:rsidRPr="003B124A" w:rsidRDefault="00000222" w:rsidP="00ED5D1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Appraisal and revalidation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0222" w:rsidRDefault="005E514E" w:rsidP="00821A06">
            <w:pPr>
              <w:rPr>
                <w:rFonts w:cstheme="minorHAnsi"/>
                <w:sz w:val="16"/>
                <w:szCs w:val="16"/>
              </w:rPr>
            </w:pPr>
            <w:hyperlink r:id="rId12" w:history="1">
              <w:r w:rsidR="00000222"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http://www.gmc-uk.org/doctors/WelcomeUK.asp</w:t>
              </w:r>
            </w:hyperlink>
            <w:r w:rsidR="0000022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00222" w:rsidRDefault="005E514E">
            <w:pPr>
              <w:rPr>
                <w:rFonts w:cstheme="minorHAnsi"/>
                <w:color w:val="000000"/>
                <w:sz w:val="16"/>
                <w:szCs w:val="16"/>
              </w:rPr>
            </w:pPr>
            <w:hyperlink r:id="rId13" w:history="1"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t>http://www.gmc</w:t>
              </w:r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noBreakHyphen/>
                <w:t>uk.org/guidance/good_medical_practice.asp</w:t>
              </w:r>
            </w:hyperlink>
            <w:r w:rsidR="00000222" w:rsidRPr="004D42F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:rsidR="00000222" w:rsidRPr="004D42F2" w:rsidRDefault="005E514E">
            <w:pPr>
              <w:rPr>
                <w:rFonts w:cstheme="minorHAnsi"/>
                <w:color w:val="000000"/>
                <w:sz w:val="16"/>
                <w:szCs w:val="16"/>
              </w:rPr>
            </w:pPr>
            <w:hyperlink r:id="rId14" w:history="1">
              <w:r w:rsidR="00000222" w:rsidRPr="00916F76">
                <w:rPr>
                  <w:rStyle w:val="Hyperlink"/>
                  <w:rFonts w:cstheme="minorHAnsi"/>
                  <w:sz w:val="16"/>
                  <w:szCs w:val="16"/>
                </w:rPr>
                <w:t>http://www.gmc-uk.org/guidance/ethical_guidance.asp</w:t>
              </w:r>
            </w:hyperlink>
            <w:r w:rsidR="0000022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:rsidR="00000222" w:rsidRDefault="005E514E">
            <w:pPr>
              <w:rPr>
                <w:rFonts w:cstheme="minorHAnsi"/>
                <w:color w:val="000000"/>
                <w:sz w:val="16"/>
                <w:szCs w:val="16"/>
              </w:rPr>
            </w:pPr>
            <w:hyperlink r:id="rId15" w:history="1"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t>http://www.gmc</w:t>
              </w:r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noBreakHyphen/>
                <w:t>uk.org</w:t>
              </w:r>
            </w:hyperlink>
            <w:r w:rsidR="00000222" w:rsidRPr="004D42F2">
              <w:rPr>
                <w:rFonts w:cstheme="minorHAnsi"/>
                <w:color w:val="000000"/>
                <w:sz w:val="16"/>
                <w:szCs w:val="16"/>
              </w:rPr>
              <w:t xml:space="preserve">/ </w:t>
            </w:r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Overview of appraisal process – you will be set up with a </w:t>
            </w:r>
            <w:r w:rsidR="009E6167">
              <w:rPr>
                <w:rFonts w:cstheme="minorHAnsi"/>
                <w:sz w:val="16"/>
                <w:szCs w:val="16"/>
              </w:rPr>
              <w:t>Scottish Online Appraisal Resource (</w:t>
            </w:r>
            <w:r>
              <w:rPr>
                <w:rFonts w:cstheme="minorHAnsi"/>
                <w:sz w:val="16"/>
                <w:szCs w:val="16"/>
              </w:rPr>
              <w:t>SOAR</w:t>
            </w:r>
            <w:r w:rsidR="009E6167"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 xml:space="preserve"> account by the local health board when you join the performers list </w:t>
            </w:r>
            <w:hyperlink r:id="rId16" w:history="1">
              <w:r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http://www.appraisal.nes.scot.nhs.uk/help-me-with/appraisal/appraisal-this-year/gp.aspx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Educational Needs Assessment</w:t>
            </w:r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0222" w:rsidRPr="0088263E" w:rsidRDefault="00000222" w:rsidP="00ED5D1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GMC Self Assessment</w:t>
            </w:r>
          </w:p>
          <w:p w:rsidR="0088263E" w:rsidRPr="00ED5D1B" w:rsidRDefault="0088263E" w:rsidP="00ED5D1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00222" w:rsidRPr="0088263E" w:rsidRDefault="005E514E">
            <w:pPr>
              <w:rPr>
                <w:rFonts w:cstheme="minorHAnsi"/>
                <w:color w:val="000000"/>
                <w:sz w:val="16"/>
                <w:szCs w:val="16"/>
              </w:rPr>
            </w:pPr>
            <w:hyperlink r:id="rId17" w:history="1"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t>http://www.gmc</w:t>
              </w:r>
              <w:r w:rsidR="00000222" w:rsidRPr="004D42F2">
                <w:rPr>
                  <w:rStyle w:val="Hyperlink"/>
                  <w:rFonts w:cstheme="minorHAnsi"/>
                  <w:sz w:val="16"/>
                  <w:szCs w:val="16"/>
                </w:rPr>
                <w:noBreakHyphen/>
                <w:t>uk.org/doctors/welcomeuklogin/Default.aspx</w:t>
              </w:r>
            </w:hyperlink>
            <w:r w:rsidR="00000222" w:rsidRPr="004D42F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63E" w:rsidTr="008E4FD1">
        <w:tc>
          <w:tcPr>
            <w:tcW w:w="3936" w:type="dxa"/>
            <w:shd w:val="clear" w:color="auto" w:fill="DBE5F1" w:themeFill="accent1" w:themeFillTint="33"/>
          </w:tcPr>
          <w:p w:rsidR="0088263E" w:rsidRPr="007C32BB" w:rsidRDefault="0088263E" w:rsidP="008E4FD1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Essential Training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88263E" w:rsidRPr="004D42F2" w:rsidRDefault="0088263E" w:rsidP="008E4FD1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88263E" w:rsidRPr="004D42F2" w:rsidTr="008E4FD1">
        <w:trPr>
          <w:trHeight w:val="501"/>
        </w:trPr>
        <w:tc>
          <w:tcPr>
            <w:tcW w:w="3936" w:type="dxa"/>
          </w:tcPr>
          <w:p w:rsidR="0088263E" w:rsidRPr="004D42F2" w:rsidRDefault="0088263E" w:rsidP="008E4FD1">
            <w:pPr>
              <w:numPr>
                <w:ilvl w:val="0"/>
                <w:numId w:val="9"/>
              </w:numPr>
              <w:spacing w:before="100" w:beforeAutospacing="1"/>
              <w:ind w:left="714" w:hanging="357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Competency in Safeguarding &amp; Protecting Young People.</w:t>
            </w:r>
          </w:p>
        </w:tc>
        <w:tc>
          <w:tcPr>
            <w:tcW w:w="9639" w:type="dxa"/>
          </w:tcPr>
          <w:p w:rsidR="0088263E" w:rsidRPr="004D42F2" w:rsidRDefault="0088263E" w:rsidP="008E4FD1">
            <w:pPr>
              <w:rPr>
                <w:rFonts w:cstheme="minorHAnsi"/>
                <w:sz w:val="16"/>
                <w:szCs w:val="16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Online e-learning modules are provided by RCGP through </w:t>
            </w:r>
            <w:hyperlink r:id="rId18" w:tgtFrame="_self" w:history="1">
              <w:r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eLearning for Health</w:t>
              </w:r>
            </w:hyperlink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and by </w:t>
            </w:r>
            <w:hyperlink r:id="rId19" w:tgtFrame="_self" w:history="1">
              <w:r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RC</w:t>
              </w:r>
              <w:r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P</w:t>
              </w:r>
              <w:r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CH</w:t>
              </w:r>
            </w:hyperlink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and should be completed on</w:t>
            </w: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line whilst waiting to attend a local course</w:t>
            </w:r>
          </w:p>
        </w:tc>
      </w:tr>
      <w:tr w:rsidR="0088263E" w:rsidRPr="004D42F2" w:rsidTr="008E4FD1">
        <w:trPr>
          <w:trHeight w:val="327"/>
        </w:trPr>
        <w:tc>
          <w:tcPr>
            <w:tcW w:w="3936" w:type="dxa"/>
          </w:tcPr>
          <w:p w:rsidR="0088263E" w:rsidRPr="00AC57F7" w:rsidRDefault="0088263E" w:rsidP="008E4FD1">
            <w:pPr>
              <w:numPr>
                <w:ilvl w:val="0"/>
                <w:numId w:val="9"/>
              </w:numPr>
              <w:spacing w:before="100" w:beforeAutospacing="1"/>
              <w:ind w:left="714" w:hanging="357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Equality &amp; </w:t>
            </w:r>
            <w:r w:rsidRPr="00AC57F7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Diversity</w:t>
            </w:r>
            <w:r w:rsidRPr="00AC57F7">
              <w:rPr>
                <w:rFonts w:eastAsia="Times New Roman" w:cstheme="minorHAnsi"/>
                <w:i/>
                <w:color w:val="333333"/>
                <w:sz w:val="16"/>
                <w:szCs w:val="16"/>
                <w:lang w:eastAsia="en-GB"/>
              </w:rPr>
              <w:t xml:space="preserve"> </w:t>
            </w: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Trainin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g</w:t>
            </w:r>
          </w:p>
        </w:tc>
        <w:tc>
          <w:tcPr>
            <w:tcW w:w="9639" w:type="dxa"/>
          </w:tcPr>
          <w:p w:rsidR="0088263E" w:rsidRPr="004D42F2" w:rsidRDefault="0088263E" w:rsidP="008E4F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Via local NHS board – to be completed by the end of Short Induction/Enhanced Induction programme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Referrals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</w:tcPr>
          <w:p w:rsidR="00000222" w:rsidRPr="004D42F2" w:rsidRDefault="00000222" w:rsidP="001239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Referrals to secondary care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including acute admissions</w:t>
            </w:r>
          </w:p>
          <w:p w:rsidR="00000222" w:rsidRPr="004D42F2" w:rsidRDefault="00000222" w:rsidP="001239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Referrals to</w:t>
            </w: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allied health professionals</w:t>
            </w:r>
          </w:p>
          <w:p w:rsidR="00000222" w:rsidRPr="004D42F2" w:rsidRDefault="00000222" w:rsidP="001239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Referral guid</w:t>
            </w: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elines are available online </w:t>
            </w:r>
          </w:p>
        </w:tc>
        <w:tc>
          <w:tcPr>
            <w:tcW w:w="9639" w:type="dxa"/>
          </w:tcPr>
          <w:p w:rsidR="00000222" w:rsidRDefault="00000222" w:rsidP="0011131B">
            <w:p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Practice induction including local hospital services and arrangements for acute admissions</w:t>
            </w:r>
          </w:p>
          <w:p w:rsidR="00000222" w:rsidRPr="00FB722E" w:rsidRDefault="00000222" w:rsidP="0011131B">
            <w:p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L</w:t>
            </w:r>
            <w:r w:rsidRPr="00FF455D"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ocal intranet</w:t>
            </w:r>
            <w: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 xml:space="preserve"> </w:t>
            </w:r>
            <w:r w:rsidR="00517355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e.g.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: Lothian: </w:t>
            </w:r>
            <w:hyperlink r:id="rId20" w:history="1">
              <w:r w:rsidRPr="00916F76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www.refhelp.scot.nhs.uk</w:t>
              </w:r>
            </w:hyperlink>
          </w:p>
          <w:p w:rsidR="00000222" w:rsidRPr="00ED5D1B" w:rsidRDefault="00000222" w:rsidP="0011131B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ED5D1B">
              <w:rPr>
                <w:sz w:val="16"/>
                <w:szCs w:val="16"/>
              </w:rPr>
              <w:t xml:space="preserve">SciGateway online referral system: </w:t>
            </w:r>
            <w:hyperlink r:id="rId21" w:history="1">
              <w:r w:rsidRPr="00ED5D1B">
                <w:rPr>
                  <w:rStyle w:val="Hyperlink"/>
                  <w:sz w:val="16"/>
                  <w:szCs w:val="16"/>
                </w:rPr>
                <w:t>http://www.sci.scot.nhs.uk/products/gateway/gate_desc.htm</w:t>
              </w:r>
            </w:hyperlink>
            <w:r w:rsidRPr="00ED5D1B">
              <w:rPr>
                <w:sz w:val="16"/>
                <w:szCs w:val="16"/>
              </w:rPr>
              <w:t xml:space="preserve"> </w:t>
            </w:r>
          </w:p>
          <w:p w:rsidR="00000222" w:rsidRPr="00DD114C" w:rsidRDefault="00000222" w:rsidP="0011131B">
            <w:pPr>
              <w:rPr>
                <w:rFonts w:cstheme="minorHAnsi"/>
                <w:sz w:val="16"/>
                <w:szCs w:val="16"/>
              </w:rPr>
            </w:pPr>
            <w:r w:rsidRPr="00DD114C">
              <w:rPr>
                <w:rFonts w:cstheme="minorHAnsi"/>
                <w:sz w:val="16"/>
                <w:szCs w:val="16"/>
              </w:rPr>
              <w:t>Scottish cancer referral guidelines:</w:t>
            </w:r>
          </w:p>
          <w:p w:rsidR="00000222" w:rsidRPr="00C06D22" w:rsidRDefault="005E514E" w:rsidP="0011131B">
            <w:pPr>
              <w:rPr>
                <w:rFonts w:cstheme="minorHAnsi"/>
                <w:b/>
                <w:color w:val="1F497D" w:themeColor="text2"/>
                <w:sz w:val="16"/>
                <w:szCs w:val="16"/>
              </w:rPr>
            </w:pPr>
            <w:hyperlink r:id="rId22" w:history="1">
              <w:r w:rsidR="00000222" w:rsidRPr="00723E80">
                <w:rPr>
                  <w:rStyle w:val="Hyperlink"/>
                  <w:rFonts w:cstheme="minorHAnsi"/>
                  <w:sz w:val="16"/>
                  <w:szCs w:val="16"/>
                </w:rPr>
                <w:t>http://www.healthcareimprovementscotland.org/our_work/cancer_care_improvement/programme_resources/scottish_referral_guidelines.aspx</w:t>
              </w:r>
            </w:hyperlink>
            <w:r w:rsidR="0000022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Prescribing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</w:tcPr>
          <w:p w:rsidR="00000222" w:rsidRPr="004D42F2" w:rsidRDefault="00000222" w:rsidP="0012395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Formulary prescribing</w:t>
            </w:r>
          </w:p>
          <w:p w:rsidR="00000222" w:rsidRPr="004D42F2" w:rsidRDefault="00000222" w:rsidP="0012395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lastRenderedPageBreak/>
              <w:t>Prescribing indicators. Most practices will have undertaken to work towards local prescribing indicators which you will need to adhere to e.g. reducing prescriptions of co-amoxiclav. You should ask your practice manager or practice pharmacist whether and which the practice has undertaken</w:t>
            </w:r>
          </w:p>
        </w:tc>
        <w:tc>
          <w:tcPr>
            <w:tcW w:w="9639" w:type="dxa"/>
          </w:tcPr>
          <w:p w:rsidR="00000222" w:rsidRDefault="00000222"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lastRenderedPageBreak/>
              <w:t xml:space="preserve">Lothian: </w:t>
            </w:r>
            <w:hyperlink r:id="rId23" w:history="1">
              <w:r w:rsidRPr="00723E80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http://www.ljf.scot.nhs.uk/Pages/default.aspx</w:t>
              </w:r>
            </w:hyperlink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</w:t>
            </w:r>
          </w:p>
          <w:p w:rsidR="00000222" w:rsidRDefault="00000222">
            <w:pPr>
              <w:rPr>
                <w:sz w:val="16"/>
                <w:szCs w:val="16"/>
              </w:rPr>
            </w:pPr>
            <w:r w:rsidRPr="00EE314B">
              <w:rPr>
                <w:sz w:val="16"/>
                <w:szCs w:val="16"/>
              </w:rPr>
              <w:lastRenderedPageBreak/>
              <w:t xml:space="preserve">Grampian: </w:t>
            </w:r>
            <w:hyperlink r:id="rId24" w:history="1">
              <w:r w:rsidRPr="007D5A08">
                <w:rPr>
                  <w:rStyle w:val="Hyperlink"/>
                  <w:sz w:val="16"/>
                  <w:szCs w:val="16"/>
                </w:rPr>
                <w:t>http://www.nhsgrampian.org/nhsgrampian/GMM_home_new.jsp?pContentID=4244&amp;p_applic=CCC&amp;pElementID=494&amp;pMenuID=464&amp;p_service=Content.show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Glasgow: </w:t>
            </w:r>
            <w:hyperlink r:id="rId25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http://www.ggcprescribing.org.uk/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Tayside: </w:t>
            </w:r>
            <w:hyperlink r:id="rId26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http://www.taysideformulary.scot.nhs.uk/default.asp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Dumfries and Galloway: </w:t>
            </w:r>
            <w:hyperlink r:id="rId27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http://www.dgprescribingmatters.co.uk/documents/Formulary_2015.pdf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Fife: </w:t>
            </w:r>
            <w:hyperlink r:id="rId28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http://www.fifeadtc.scot.nhs.uk/fife-joint-formulary.aspx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Forth Valley: </w:t>
            </w:r>
            <w:hyperlink r:id="rId29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http://www.communitypharmacy.scot.nhs.uk/nhs_boards/NHS_Forth_Valley/redesign/guidance/documents/FV_Formulary_Jan15v3_13thEdition_FinalONE_updatedpdf.pdf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Ayrshire and Arran: </w:t>
            </w:r>
            <w:hyperlink r:id="rId30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http://www.nhsaaa.net/services-index/p-prescribing.aspx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Lanarkshire: </w:t>
            </w:r>
            <w:hyperlink r:id="rId31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http://www.medednhsl.com/meded/nhsl_formulary/index.asp</w:t>
              </w:r>
            </w:hyperlink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Highland: </w:t>
            </w:r>
            <w:hyperlink r:id="rId32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http://www.nhshighland.scot.nhs.uk/Publications/Documents/Guidelines/Formulary/Highland%20Formulary.pdf</w:t>
              </w:r>
            </w:hyperlink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br/>
            </w:r>
          </w:p>
          <w:p w:rsidR="00000222" w:rsidRDefault="009E6167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British National </w:t>
            </w:r>
            <w:r w:rsidR="00517355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Formulary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(BNF)</w:t>
            </w:r>
            <w:r w:rsidR="0000022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: </w:t>
            </w:r>
            <w:r w:rsidR="00000222"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</w:t>
            </w:r>
            <w:hyperlink r:id="rId33" w:tgtFrame="_self" w:history="1">
              <w:r w:rsidR="00000222"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www.bnf.org</w:t>
              </w:r>
            </w:hyperlink>
          </w:p>
          <w:p w:rsidR="00000222" w:rsidRDefault="00000222"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Children’s BNF: </w:t>
            </w:r>
            <w:hyperlink r:id="rId34" w:history="1">
              <w:r w:rsidRPr="007D5A08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https://www.medicinescomplete.com/mc/bnfc/current/</w:t>
              </w:r>
            </w:hyperlink>
          </w:p>
          <w:p w:rsidR="00000222" w:rsidRPr="00C75192" w:rsidRDefault="00000222">
            <w:pPr>
              <w:rPr>
                <w:sz w:val="16"/>
                <w:szCs w:val="16"/>
              </w:rPr>
            </w:pPr>
            <w:r w:rsidRPr="00C75192">
              <w:rPr>
                <w:sz w:val="16"/>
                <w:szCs w:val="16"/>
              </w:rPr>
              <w:t>Sign up for free access online via Medicinecomplete website if you work for NHS</w:t>
            </w:r>
            <w:r>
              <w:rPr>
                <w:sz w:val="16"/>
                <w:szCs w:val="16"/>
              </w:rPr>
              <w:t xml:space="preserve"> </w:t>
            </w:r>
            <w:hyperlink r:id="rId35" w:history="1">
              <w:r w:rsidRPr="008C6C09">
                <w:rPr>
                  <w:rStyle w:val="Hyperlink"/>
                  <w:sz w:val="16"/>
                  <w:szCs w:val="16"/>
                </w:rPr>
                <w:t>https://www.medicinescomplete.com/mc/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000222" w:rsidRPr="00C75192" w:rsidRDefault="00000222">
            <w:pPr>
              <w:rPr>
                <w:sz w:val="16"/>
                <w:szCs w:val="16"/>
              </w:rPr>
            </w:pPr>
            <w:r w:rsidRPr="008913CA">
              <w:rPr>
                <w:sz w:val="16"/>
                <w:szCs w:val="16"/>
              </w:rPr>
              <w:t>Phone apps for these also available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lastRenderedPageBreak/>
              <w:t>Clinical Protocols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rPr>
          <w:trHeight w:val="1441"/>
        </w:trPr>
        <w:tc>
          <w:tcPr>
            <w:tcW w:w="3936" w:type="dxa"/>
          </w:tcPr>
          <w:p w:rsidR="00000222" w:rsidRPr="00A6063F" w:rsidRDefault="00000222" w:rsidP="001239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Practice based protocols usually developed by the practice</w:t>
            </w:r>
          </w:p>
          <w:p w:rsidR="00000222" w:rsidRPr="00A6063F" w:rsidRDefault="00000222" w:rsidP="001239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Local Health Board clinical protocols</w:t>
            </w:r>
          </w:p>
          <w:p w:rsidR="00000222" w:rsidRPr="004D42F2" w:rsidRDefault="00000222" w:rsidP="007C32BB">
            <w:pPr>
              <w:numPr>
                <w:ilvl w:val="0"/>
                <w:numId w:val="3"/>
              </w:numPr>
              <w:spacing w:before="100" w:beforeAutospacing="1"/>
              <w:ind w:left="714" w:hanging="357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Ordering lab tests online e.g. using the ICE system. Your practice IT manager should be able to talk you through this</w:t>
            </w:r>
          </w:p>
        </w:tc>
        <w:tc>
          <w:tcPr>
            <w:tcW w:w="9639" w:type="dxa"/>
          </w:tcPr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</w:p>
          <w:p w:rsidR="00000222" w:rsidRPr="00DD114C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DD114C">
              <w:rPr>
                <w:rFonts w:cstheme="minorHAnsi"/>
                <w:b/>
                <w:sz w:val="16"/>
                <w:szCs w:val="16"/>
              </w:rPr>
              <w:t>Induction at practice</w:t>
            </w:r>
          </w:p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DD114C">
              <w:rPr>
                <w:rFonts w:cstheme="minorHAnsi"/>
                <w:b/>
                <w:sz w:val="16"/>
                <w:szCs w:val="16"/>
              </w:rPr>
              <w:t>Local Intranet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QoF &amp; Enhanced Service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rPr>
          <w:trHeight w:val="644"/>
        </w:trPr>
        <w:tc>
          <w:tcPr>
            <w:tcW w:w="3936" w:type="dxa"/>
            <w:tcBorders>
              <w:bottom w:val="single" w:sz="4" w:space="0" w:color="auto"/>
            </w:tcBorders>
          </w:tcPr>
          <w:p w:rsidR="00000222" w:rsidRPr="004D42F2" w:rsidRDefault="00000222" w:rsidP="001239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Your practice manager will be able to detail what areas the practice has signed up for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36" w:history="1">
              <w:r w:rsidR="00000222"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http://www.isdscotland.org/Health-Topics/General-Practice/Quality-And-Outcomes-Framework/</w:t>
              </w:r>
            </w:hyperlink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PDF of most recent QoF Guidance also available online</w:t>
            </w:r>
          </w:p>
        </w:tc>
      </w:tr>
      <w:tr w:rsidR="00000222" w:rsidTr="00000222">
        <w:trPr>
          <w:trHeight w:val="188"/>
        </w:trPr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 w:rsidP="00FB722E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Out of Hours (OOH)  Services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 w:rsidP="00FB722E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rPr>
          <w:trHeight w:val="644"/>
        </w:trPr>
        <w:tc>
          <w:tcPr>
            <w:tcW w:w="3936" w:type="dxa"/>
          </w:tcPr>
          <w:p w:rsidR="00000222" w:rsidRDefault="00000222" w:rsidP="001239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NHS 24</w:t>
            </w:r>
          </w:p>
          <w:p w:rsidR="00000222" w:rsidRPr="00A6063F" w:rsidRDefault="00000222" w:rsidP="001239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Local OOH GP service provision</w:t>
            </w:r>
          </w:p>
        </w:tc>
        <w:tc>
          <w:tcPr>
            <w:tcW w:w="9639" w:type="dxa"/>
          </w:tcPr>
          <w:p w:rsidR="00000222" w:rsidRDefault="00000222">
            <w:pPr>
              <w:rPr>
                <w:sz w:val="16"/>
                <w:szCs w:val="16"/>
              </w:rPr>
            </w:pPr>
            <w:r w:rsidRPr="00AC57F7">
              <w:rPr>
                <w:sz w:val="16"/>
                <w:szCs w:val="16"/>
              </w:rPr>
              <w:t xml:space="preserve">NHS 24 Website: </w:t>
            </w:r>
            <w:hyperlink r:id="rId37" w:history="1">
              <w:r w:rsidRPr="00AC57F7">
                <w:rPr>
                  <w:rStyle w:val="Hyperlink"/>
                  <w:sz w:val="16"/>
                  <w:szCs w:val="16"/>
                </w:rPr>
                <w:t>http://www.nhs24.com/explained/services/</w:t>
              </w:r>
            </w:hyperlink>
            <w:r w:rsidRPr="00AC57F7">
              <w:rPr>
                <w:sz w:val="16"/>
                <w:szCs w:val="16"/>
              </w:rPr>
              <w:t xml:space="preserve"> </w:t>
            </w:r>
          </w:p>
          <w:p w:rsidR="00000222" w:rsidRDefault="000002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 induction – information about local OOH services, interaction between practice and OOH</w:t>
            </w:r>
          </w:p>
          <w:p w:rsidR="00000222" w:rsidRPr="00AC57F7" w:rsidRDefault="000002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induction for OOH Service if wishing to do OOH shifts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Roles of Attached Staff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</w:tcPr>
          <w:p w:rsidR="00000222" w:rsidRPr="004D42F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Health visitors </w:t>
            </w:r>
          </w:p>
          <w:p w:rsidR="00000222" w:rsidRPr="004D42F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P</w:t>
            </w: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ractice nurses</w:t>
            </w:r>
          </w:p>
          <w:p w:rsidR="00000222" w:rsidRPr="004D42F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Nurse practitioners</w:t>
            </w:r>
          </w:p>
          <w:p w:rsidR="00000222" w:rsidRPr="004D42F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Physicians Associates</w:t>
            </w:r>
          </w:p>
          <w:p w:rsidR="0000022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District ( community) nurses</w:t>
            </w:r>
          </w:p>
          <w:p w:rsidR="00000222" w:rsidRPr="004D42F2" w:rsidRDefault="00000222" w:rsidP="001239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Practice pharmacist</w:t>
            </w:r>
          </w:p>
          <w:p w:rsidR="00000222" w:rsidRPr="004D42F2" w:rsidRDefault="00000222" w:rsidP="007C32BB">
            <w:pPr>
              <w:numPr>
                <w:ilvl w:val="0"/>
                <w:numId w:val="5"/>
              </w:numPr>
              <w:spacing w:before="100" w:beforeAutospacing="1"/>
              <w:ind w:left="714" w:hanging="357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lastRenderedPageBreak/>
              <w:t>Other members of primary health care team</w:t>
            </w:r>
          </w:p>
        </w:tc>
        <w:tc>
          <w:tcPr>
            <w:tcW w:w="9639" w:type="dxa"/>
          </w:tcPr>
          <w:p w:rsidR="00000222" w:rsidRPr="00DD114C" w:rsidRDefault="00000222">
            <w:pPr>
              <w:rPr>
                <w:rFonts w:cstheme="minorHAnsi"/>
                <w:sz w:val="16"/>
                <w:szCs w:val="16"/>
              </w:rPr>
            </w:pPr>
            <w:r w:rsidRPr="00DD114C">
              <w:rPr>
                <w:rFonts w:cstheme="minorHAnsi"/>
                <w:b/>
                <w:sz w:val="16"/>
                <w:szCs w:val="16"/>
              </w:rPr>
              <w:lastRenderedPageBreak/>
              <w:t>Practice induction – sitting in with attached staff</w:t>
            </w:r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Practice nurses + Nurse </w:t>
            </w:r>
            <w:r w:rsidR="00517355">
              <w:rPr>
                <w:rFonts w:cstheme="minorHAnsi"/>
                <w:sz w:val="16"/>
                <w:szCs w:val="16"/>
              </w:rPr>
              <w:t>practitioners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hyperlink r:id="rId38" w:history="1">
              <w:r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http://www.nhscareers.nhs.uk/explore-by-career/nursing/careers-in-nursing/general-practice-nursing/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District nurses: </w:t>
            </w:r>
            <w:hyperlink r:id="rId39" w:history="1">
              <w:r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http://www.nhscareers.nhs.uk/explore-by-career/nursing/careers-in-nursing/district-nursing/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Health visitors: </w:t>
            </w:r>
            <w:hyperlink r:id="rId40" w:history="1">
              <w:r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http://www.nhscareers.nhs.uk/explore-by-career/nursing/careers-in-nursing/health-visiting/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Physicians Associates: </w:t>
            </w:r>
            <w:hyperlink r:id="rId41" w:history="1">
              <w:r w:rsidRPr="00C74DBD">
                <w:rPr>
                  <w:rStyle w:val="Hyperlink"/>
                  <w:rFonts w:cstheme="minorHAnsi"/>
                  <w:sz w:val="16"/>
                  <w:szCs w:val="16"/>
                </w:rPr>
                <w:t>http://www.nhscareers.nhs.uk/explore-by-career/wider-healthcare-team/careers-in-the-wider-healthcare-team/clinical-support-staff/physician-associate/</w:t>
              </w:r>
            </w:hyperlink>
          </w:p>
          <w:p w:rsidR="00000222" w:rsidRPr="00004865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Care management: via local council, see local websites 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4D42F2" w:rsidRDefault="00000222" w:rsidP="00AF1845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eastAsia="Times New Roman" w:cstheme="minorHAnsi"/>
                <w:b/>
                <w:bCs/>
                <w:color w:val="333333"/>
                <w:sz w:val="16"/>
                <w:szCs w:val="16"/>
                <w:lang w:eastAsia="en-GB"/>
              </w:rPr>
              <w:lastRenderedPageBreak/>
              <w:t xml:space="preserve">Role of Community Pharmacies 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</w:tcPr>
          <w:p w:rsidR="00000222" w:rsidRPr="00A6063F" w:rsidRDefault="00000222" w:rsidP="00AF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The provision of weekly dispensed medication in Dosette boxes or blister packs</w:t>
            </w:r>
          </w:p>
          <w:p w:rsidR="00000222" w:rsidRPr="00A6063F" w:rsidRDefault="00000222" w:rsidP="00AF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The minor ailments scheme</w:t>
            </w:r>
          </w:p>
          <w:p w:rsidR="00000222" w:rsidRPr="00A6063F" w:rsidRDefault="00000222" w:rsidP="00AF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The Chronic Medication Scheme </w:t>
            </w:r>
            <w:r w:rsidR="00B34C14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(CMS)</w:t>
            </w:r>
          </w:p>
          <w:p w:rsidR="00000222" w:rsidRPr="00A6063F" w:rsidRDefault="00000222" w:rsidP="00AF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Their work with care homes</w:t>
            </w:r>
          </w:p>
          <w:p w:rsidR="00000222" w:rsidRPr="00A6063F" w:rsidRDefault="00000222" w:rsidP="00AF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Emergency prescriptions</w:t>
            </w:r>
          </w:p>
          <w:p w:rsidR="00000222" w:rsidRPr="004D42F2" w:rsidRDefault="00000222" w:rsidP="007C32BB">
            <w:pPr>
              <w:numPr>
                <w:ilvl w:val="0"/>
                <w:numId w:val="7"/>
              </w:numPr>
              <w:spacing w:before="100" w:beforeAutospacing="1"/>
              <w:ind w:left="714" w:hanging="357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Discharge Medication reconciliations: community pharmacies will often help in ensuring safe patient care by checking that the medications on discharge summaries are congruent with current repeat medication lists in patient records</w:t>
            </w:r>
          </w:p>
        </w:tc>
        <w:tc>
          <w:tcPr>
            <w:tcW w:w="9639" w:type="dxa"/>
          </w:tcPr>
          <w:p w:rsidR="00000222" w:rsidRDefault="005E514E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hyperlink r:id="rId42" w:tgtFrame="_self" w:history="1">
              <w:r w:rsidR="00000222" w:rsidRPr="004D42F2">
                <w:rPr>
                  <w:rFonts w:eastAsia="Times New Roman" w:cstheme="minorHAnsi"/>
                  <w:color w:val="004785"/>
                  <w:sz w:val="16"/>
                  <w:szCs w:val="16"/>
                  <w:lang w:eastAsia="en-GB"/>
                </w:rPr>
                <w:t>http://www.communitypharmacy.scot.nhs.uk/core_services/cms.html</w:t>
              </w:r>
            </w:hyperlink>
            <w:r w:rsidR="0000022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 </w:t>
            </w:r>
            <w:r w:rsidR="00000222"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</w:t>
            </w:r>
          </w:p>
          <w:p w:rsidR="00000222" w:rsidRDefault="00000222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</w:p>
          <w:p w:rsidR="00000222" w:rsidRPr="00DD114C" w:rsidRDefault="00000222">
            <w:p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  <w:r w:rsidRPr="00DD114C"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Sit in with local pharmacist to get idea of services available and how  system organised</w:t>
            </w:r>
          </w:p>
          <w:p w:rsidR="00000222" w:rsidRPr="00DD114C" w:rsidRDefault="00000222">
            <w:p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</w:p>
          <w:p w:rsidR="00000222" w:rsidRPr="00DD114C" w:rsidRDefault="00000222" w:rsidP="00AC460C">
            <w:p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  <w:r w:rsidRPr="00DD114C"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Practice induction</w:t>
            </w:r>
          </w:p>
          <w:p w:rsidR="00000222" w:rsidRPr="00DD114C" w:rsidRDefault="00000222" w:rsidP="00AC460C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</w:pPr>
            <w:r w:rsidRPr="00DD114C"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Use of CMS prescribing, process for completing scripts for dosette/weekly/daily dispense</w:t>
            </w:r>
          </w:p>
          <w:p w:rsidR="00000222" w:rsidRPr="00AC460C" w:rsidRDefault="00000222" w:rsidP="00AC460C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DD114C">
              <w:rPr>
                <w:rFonts w:eastAsia="Times New Roman" w:cstheme="minorHAnsi"/>
                <w:b/>
                <w:color w:val="333333"/>
                <w:sz w:val="16"/>
                <w:szCs w:val="16"/>
                <w:lang w:eastAsia="en-GB"/>
              </w:rPr>
              <w:t>Time with practice pharmacist re: practice protocols and targets</w:t>
            </w:r>
          </w:p>
        </w:tc>
      </w:tr>
      <w:tr w:rsidR="00000222" w:rsidTr="00000222">
        <w:tc>
          <w:tcPr>
            <w:tcW w:w="3936" w:type="dxa"/>
            <w:shd w:val="clear" w:color="auto" w:fill="DBE5F1" w:themeFill="accent1" w:themeFillTint="33"/>
          </w:tcPr>
          <w:p w:rsidR="00000222" w:rsidRPr="007C32BB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IT Systems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000222" w:rsidTr="00000222">
        <w:tc>
          <w:tcPr>
            <w:tcW w:w="3936" w:type="dxa"/>
          </w:tcPr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IT Systems including</w:t>
            </w:r>
            <w:r w:rsidRPr="004D42F2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</w:t>
            </w: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clinical systems e.g. Vision, EMIS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NHS mail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document management systems e.g. Docman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appointment systems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the use of READ codes,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computer based prescribing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illness certification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online death certificate system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online lab test</w:t>
            </w:r>
          </w:p>
          <w:p w:rsidR="00000222" w:rsidRPr="00A6063F" w:rsidRDefault="00000222" w:rsidP="00AF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online referrals</w:t>
            </w:r>
          </w:p>
          <w:p w:rsidR="00000222" w:rsidRPr="00C75192" w:rsidRDefault="00000222" w:rsidP="00C7519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A6063F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messaging systems</w:t>
            </w:r>
          </w:p>
        </w:tc>
        <w:tc>
          <w:tcPr>
            <w:tcW w:w="9639" w:type="dxa"/>
          </w:tcPr>
          <w:p w:rsidR="00000222" w:rsidRPr="00DD114C" w:rsidRDefault="00000222">
            <w:pPr>
              <w:rPr>
                <w:rFonts w:cstheme="minorHAnsi"/>
                <w:b/>
                <w:sz w:val="16"/>
                <w:szCs w:val="16"/>
              </w:rPr>
            </w:pPr>
            <w:r w:rsidRPr="00DD114C">
              <w:rPr>
                <w:rFonts w:cstheme="minorHAnsi"/>
                <w:b/>
                <w:sz w:val="16"/>
                <w:szCs w:val="16"/>
              </w:rPr>
              <w:t>Practice induction: familiarisation with local computer systems</w:t>
            </w:r>
            <w:r>
              <w:rPr>
                <w:rFonts w:cstheme="minorHAnsi"/>
                <w:b/>
                <w:sz w:val="16"/>
                <w:szCs w:val="16"/>
              </w:rPr>
              <w:t>, sit in with admin staff</w:t>
            </w:r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</w:p>
          <w:p w:rsidR="00000222" w:rsidRDefault="0051735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YouTube</w:t>
            </w:r>
            <w:r w:rsidR="00000222">
              <w:rPr>
                <w:rFonts w:cstheme="minorHAnsi"/>
                <w:sz w:val="16"/>
                <w:szCs w:val="16"/>
              </w:rPr>
              <w:t xml:space="preserve"> Vision Tutorial:</w:t>
            </w:r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43" w:history="1">
              <w:r w:rsidR="00000222" w:rsidRPr="00AD5F54">
                <w:rPr>
                  <w:rStyle w:val="Hyperlink"/>
                  <w:rFonts w:cstheme="minorHAnsi"/>
                  <w:sz w:val="16"/>
                  <w:szCs w:val="16"/>
                </w:rPr>
                <w:t>https://www.youtube.com/watch?v=kpYUMi0hNyo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Docman demonstration:</w:t>
            </w:r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44" w:history="1">
              <w:r w:rsidR="00000222" w:rsidRPr="00AD5F54">
                <w:rPr>
                  <w:rStyle w:val="Hyperlink"/>
                  <w:rFonts w:cstheme="minorHAnsi"/>
                  <w:sz w:val="16"/>
                  <w:szCs w:val="16"/>
                </w:rPr>
                <w:t>https://www.youtube.com/watch?v=mbsqlV_2BGI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(Demo starts at approx 3m30sec)</w:t>
            </w:r>
          </w:p>
          <w:p w:rsidR="00000222" w:rsidRDefault="0051735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YouTube</w:t>
            </w:r>
            <w:r w:rsidR="00000222">
              <w:rPr>
                <w:rFonts w:cstheme="minorHAnsi"/>
                <w:sz w:val="16"/>
                <w:szCs w:val="16"/>
              </w:rPr>
              <w:t xml:space="preserve"> EMIS Web Tutorial:</w:t>
            </w:r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45" w:history="1">
              <w:r w:rsidR="00000222" w:rsidRPr="00AD5F54">
                <w:rPr>
                  <w:rStyle w:val="Hyperlink"/>
                  <w:rFonts w:cstheme="minorHAnsi"/>
                  <w:sz w:val="16"/>
                  <w:szCs w:val="16"/>
                </w:rPr>
                <w:t>https://www.youtube.com/watch?v=zR1t0Nk8gkE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Demonstrations for electronic test requesting and prescribing in Vision/EMIS tutorials</w:t>
            </w:r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Illness certification: MED3</w:t>
            </w:r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46" w:history="1">
              <w:r w:rsidR="00000222" w:rsidRPr="00AD5F54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https://www.gov.uk/government/collections/fit-note</w:t>
              </w:r>
            </w:hyperlink>
          </w:p>
          <w:p w:rsidR="0000022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Death Certification (recent changes)</w:t>
            </w:r>
          </w:p>
          <w:p w:rsidR="00000222" w:rsidRDefault="005E514E">
            <w:pPr>
              <w:rPr>
                <w:rFonts w:cstheme="minorHAnsi"/>
                <w:sz w:val="16"/>
                <w:szCs w:val="16"/>
              </w:rPr>
            </w:pPr>
            <w:hyperlink r:id="rId47" w:history="1">
              <w:r w:rsidR="00000222" w:rsidRPr="00AD5F54">
                <w:rPr>
                  <w:rStyle w:val="Hyperlink"/>
                  <w:rFonts w:cstheme="minorHAnsi"/>
                  <w:sz w:val="16"/>
                  <w:szCs w:val="16"/>
                </w:rPr>
                <w:t>http://www.healthcareimprovementscotland.org/our_work/governance_and_assurance/death_certification.aspx</w:t>
              </w:r>
            </w:hyperlink>
          </w:p>
          <w:p w:rsidR="00000222" w:rsidRPr="004D42F2" w:rsidRDefault="000002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 practice tutorial as  to how to complete an electronic death certificate</w:t>
            </w:r>
          </w:p>
        </w:tc>
      </w:tr>
      <w:tr w:rsidR="0088263E" w:rsidTr="00000222">
        <w:tc>
          <w:tcPr>
            <w:tcW w:w="3936" w:type="dxa"/>
            <w:shd w:val="clear" w:color="auto" w:fill="DBE5F1" w:themeFill="accent1" w:themeFillTint="33"/>
          </w:tcPr>
          <w:p w:rsidR="0088263E" w:rsidRPr="007C32BB" w:rsidRDefault="0088263E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Practice Specific Issues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88263E" w:rsidRPr="004D42F2" w:rsidRDefault="0088263E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88263E" w:rsidTr="00000222">
        <w:tc>
          <w:tcPr>
            <w:tcW w:w="3936" w:type="dxa"/>
            <w:tcBorders>
              <w:bottom w:val="single" w:sz="4" w:space="0" w:color="auto"/>
            </w:tcBorders>
          </w:tcPr>
          <w:p w:rsidR="0088263E" w:rsidRDefault="0088263E"/>
          <w:p w:rsidR="0088263E" w:rsidRDefault="0088263E"/>
        </w:tc>
        <w:tc>
          <w:tcPr>
            <w:tcW w:w="9639" w:type="dxa"/>
            <w:tcBorders>
              <w:bottom w:val="single" w:sz="4" w:space="0" w:color="auto"/>
            </w:tcBorders>
          </w:tcPr>
          <w:p w:rsidR="0088263E" w:rsidRPr="007C32BB" w:rsidRDefault="0088263E">
            <w:pPr>
              <w:rPr>
                <w:sz w:val="16"/>
                <w:szCs w:val="16"/>
              </w:rPr>
            </w:pPr>
            <w:r w:rsidRPr="007C32BB">
              <w:rPr>
                <w:sz w:val="16"/>
                <w:szCs w:val="16"/>
              </w:rPr>
              <w:t>e.g. :</w:t>
            </w:r>
          </w:p>
          <w:p w:rsidR="0088263E" w:rsidRPr="007C32BB" w:rsidRDefault="0088263E">
            <w:pPr>
              <w:rPr>
                <w:sz w:val="16"/>
                <w:szCs w:val="16"/>
              </w:rPr>
            </w:pPr>
            <w:r w:rsidRPr="007C32BB">
              <w:rPr>
                <w:sz w:val="16"/>
                <w:szCs w:val="16"/>
              </w:rPr>
              <w:t>Teaching within the practice – medical/nursing students, FY2s, GP trainees</w:t>
            </w:r>
          </w:p>
          <w:p w:rsidR="0088263E" w:rsidRDefault="0088263E">
            <w:pPr>
              <w:rPr>
                <w:sz w:val="16"/>
                <w:szCs w:val="16"/>
              </w:rPr>
            </w:pPr>
            <w:r w:rsidRPr="007C32BB">
              <w:rPr>
                <w:sz w:val="16"/>
                <w:szCs w:val="16"/>
              </w:rPr>
              <w:t>Practice meetings –Partners meetings, Palliative care</w:t>
            </w:r>
            <w:r>
              <w:rPr>
                <w:sz w:val="16"/>
                <w:szCs w:val="16"/>
              </w:rPr>
              <w:t>/child protection meetings</w:t>
            </w:r>
          </w:p>
          <w:p w:rsidR="0088263E" w:rsidRPr="007C32BB" w:rsidRDefault="0088263E">
            <w:pPr>
              <w:rPr>
                <w:sz w:val="16"/>
                <w:szCs w:val="16"/>
              </w:rPr>
            </w:pPr>
            <w:r w:rsidRPr="007C32BB">
              <w:rPr>
                <w:sz w:val="16"/>
                <w:szCs w:val="16"/>
              </w:rPr>
              <w:t>Clinical governance – system for SEAs, audits etc</w:t>
            </w:r>
          </w:p>
          <w:p w:rsidR="0088263E" w:rsidRDefault="0088263E">
            <w:r w:rsidRPr="007C32BB">
              <w:rPr>
                <w:sz w:val="16"/>
                <w:szCs w:val="16"/>
              </w:rPr>
              <w:t>PLT</w:t>
            </w:r>
          </w:p>
        </w:tc>
      </w:tr>
      <w:tr w:rsidR="0088263E" w:rsidTr="00000222">
        <w:tc>
          <w:tcPr>
            <w:tcW w:w="3936" w:type="dxa"/>
            <w:shd w:val="clear" w:color="auto" w:fill="DBE5F1" w:themeFill="accent1" w:themeFillTint="33"/>
          </w:tcPr>
          <w:p w:rsidR="0088263E" w:rsidRPr="007C32BB" w:rsidRDefault="0088263E" w:rsidP="00AC57F7">
            <w:pPr>
              <w:rPr>
                <w:rFonts w:cstheme="minorHAnsi"/>
                <w:b/>
                <w:sz w:val="16"/>
                <w:szCs w:val="16"/>
              </w:rPr>
            </w:pPr>
            <w:r w:rsidRPr="007C32BB">
              <w:rPr>
                <w:rFonts w:cstheme="minorHAnsi"/>
                <w:b/>
                <w:sz w:val="16"/>
                <w:szCs w:val="16"/>
              </w:rPr>
              <w:t>Professional Bodies</w:t>
            </w:r>
          </w:p>
        </w:tc>
        <w:tc>
          <w:tcPr>
            <w:tcW w:w="9639" w:type="dxa"/>
            <w:shd w:val="clear" w:color="auto" w:fill="DBE5F1" w:themeFill="accent1" w:themeFillTint="33"/>
          </w:tcPr>
          <w:p w:rsidR="0088263E" w:rsidRPr="004D42F2" w:rsidRDefault="0088263E" w:rsidP="00AC57F7">
            <w:pPr>
              <w:rPr>
                <w:rFonts w:cstheme="minorHAnsi"/>
                <w:sz w:val="16"/>
                <w:szCs w:val="16"/>
              </w:rPr>
            </w:pPr>
            <w:r w:rsidRPr="004D42F2">
              <w:rPr>
                <w:rFonts w:cstheme="minorHAnsi"/>
                <w:sz w:val="16"/>
                <w:szCs w:val="16"/>
              </w:rPr>
              <w:t>Resource</w:t>
            </w:r>
          </w:p>
        </w:tc>
      </w:tr>
      <w:tr w:rsidR="0088263E" w:rsidTr="00000222">
        <w:tc>
          <w:tcPr>
            <w:tcW w:w="3936" w:type="dxa"/>
          </w:tcPr>
          <w:p w:rsidR="0088263E" w:rsidRDefault="0088263E" w:rsidP="00AC57F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C57F7">
              <w:rPr>
                <w:sz w:val="16"/>
                <w:szCs w:val="16"/>
              </w:rPr>
              <w:t>British Medical Association</w:t>
            </w:r>
          </w:p>
          <w:p w:rsidR="0088263E" w:rsidRPr="00AC57F7" w:rsidRDefault="0088263E" w:rsidP="007C32BB">
            <w:pPr>
              <w:pStyle w:val="ListParagraph"/>
              <w:rPr>
                <w:sz w:val="16"/>
                <w:szCs w:val="16"/>
              </w:rPr>
            </w:pPr>
          </w:p>
          <w:p w:rsidR="0088263E" w:rsidRPr="00AC57F7" w:rsidRDefault="0088263E" w:rsidP="00AC57F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C57F7">
              <w:rPr>
                <w:sz w:val="16"/>
                <w:szCs w:val="16"/>
              </w:rPr>
              <w:t>Royal College of General Practi</w:t>
            </w:r>
            <w:r>
              <w:rPr>
                <w:sz w:val="16"/>
                <w:szCs w:val="16"/>
              </w:rPr>
              <w:t>ti</w:t>
            </w:r>
            <w:r w:rsidRPr="00AC57F7">
              <w:rPr>
                <w:sz w:val="16"/>
                <w:szCs w:val="16"/>
              </w:rPr>
              <w:t>oners</w:t>
            </w:r>
          </w:p>
        </w:tc>
        <w:tc>
          <w:tcPr>
            <w:tcW w:w="9639" w:type="dxa"/>
          </w:tcPr>
          <w:p w:rsidR="0088263E" w:rsidRDefault="0088263E">
            <w:pPr>
              <w:rPr>
                <w:sz w:val="16"/>
                <w:szCs w:val="16"/>
              </w:rPr>
            </w:pPr>
            <w:r w:rsidRPr="00AC57F7">
              <w:rPr>
                <w:sz w:val="16"/>
                <w:szCs w:val="16"/>
              </w:rPr>
              <w:t>Trade union, advice and support, CPD and online learning, access to BMJ</w:t>
            </w:r>
          </w:p>
          <w:p w:rsidR="0088263E" w:rsidRPr="00AC57F7" w:rsidRDefault="0088263E">
            <w:pPr>
              <w:rPr>
                <w:sz w:val="16"/>
                <w:szCs w:val="16"/>
              </w:rPr>
            </w:pPr>
            <w:hyperlink r:id="rId48" w:history="1">
              <w:r w:rsidRPr="008C6C09">
                <w:rPr>
                  <w:rStyle w:val="Hyperlink"/>
                  <w:sz w:val="16"/>
                  <w:szCs w:val="16"/>
                </w:rPr>
                <w:t>http://bma.org.uk/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88263E" w:rsidRDefault="0088263E">
            <w:pPr>
              <w:rPr>
                <w:sz w:val="16"/>
                <w:szCs w:val="16"/>
              </w:rPr>
            </w:pPr>
            <w:r w:rsidRPr="00AC57F7">
              <w:rPr>
                <w:sz w:val="16"/>
                <w:szCs w:val="16"/>
              </w:rPr>
              <w:t xml:space="preserve">Professional body for GPs, </w:t>
            </w:r>
            <w:r>
              <w:rPr>
                <w:sz w:val="16"/>
                <w:szCs w:val="16"/>
              </w:rPr>
              <w:t xml:space="preserve"> access to courses, online learning, CPD, BJGP monthly</w:t>
            </w:r>
          </w:p>
          <w:p w:rsidR="0088263E" w:rsidRPr="00AC57F7" w:rsidRDefault="0088263E">
            <w:pPr>
              <w:rPr>
                <w:sz w:val="16"/>
                <w:szCs w:val="16"/>
              </w:rPr>
            </w:pPr>
            <w:hyperlink r:id="rId49" w:history="1">
              <w:r w:rsidRPr="008C6C09">
                <w:rPr>
                  <w:rStyle w:val="Hyperlink"/>
                  <w:sz w:val="16"/>
                  <w:szCs w:val="16"/>
                </w:rPr>
                <w:t>http://www.rcgp.org.uk/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123951" w:rsidRDefault="00123951" w:rsidP="00C75192"/>
    <w:sectPr w:rsidR="00123951" w:rsidSect="00ED5D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9D" w:rsidRDefault="002E079D" w:rsidP="00A041AE">
      <w:pPr>
        <w:spacing w:after="0" w:line="240" w:lineRule="auto"/>
      </w:pPr>
      <w:r>
        <w:separator/>
      </w:r>
    </w:p>
  </w:endnote>
  <w:endnote w:type="continuationSeparator" w:id="0">
    <w:p w:rsidR="002E079D" w:rsidRDefault="002E079D" w:rsidP="00A0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9D" w:rsidRDefault="002E079D" w:rsidP="00A041AE">
      <w:pPr>
        <w:spacing w:after="0" w:line="240" w:lineRule="auto"/>
      </w:pPr>
      <w:r>
        <w:separator/>
      </w:r>
    </w:p>
  </w:footnote>
  <w:footnote w:type="continuationSeparator" w:id="0">
    <w:p w:rsidR="002E079D" w:rsidRDefault="002E079D" w:rsidP="00A04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C6B"/>
    <w:multiLevelType w:val="hybridMultilevel"/>
    <w:tmpl w:val="3B8A7C86"/>
    <w:lvl w:ilvl="0" w:tplc="15FA5AEA">
      <w:numFmt w:val="bullet"/>
      <w:lvlText w:val="-"/>
      <w:lvlJc w:val="left"/>
      <w:pPr>
        <w:ind w:left="15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111D41D5"/>
    <w:multiLevelType w:val="multilevel"/>
    <w:tmpl w:val="BA02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14F54"/>
    <w:multiLevelType w:val="hybridMultilevel"/>
    <w:tmpl w:val="FB7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16428"/>
    <w:multiLevelType w:val="multilevel"/>
    <w:tmpl w:val="582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7324"/>
    <w:multiLevelType w:val="multilevel"/>
    <w:tmpl w:val="DB68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7021A"/>
    <w:multiLevelType w:val="multilevel"/>
    <w:tmpl w:val="B46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F3B43"/>
    <w:multiLevelType w:val="multilevel"/>
    <w:tmpl w:val="873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01CBF"/>
    <w:multiLevelType w:val="multilevel"/>
    <w:tmpl w:val="246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F7B99"/>
    <w:multiLevelType w:val="hybridMultilevel"/>
    <w:tmpl w:val="CAD628FA"/>
    <w:lvl w:ilvl="0" w:tplc="21AAD20C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45132C31"/>
    <w:multiLevelType w:val="multilevel"/>
    <w:tmpl w:val="37AA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800CB"/>
    <w:multiLevelType w:val="multilevel"/>
    <w:tmpl w:val="2950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A6887"/>
    <w:multiLevelType w:val="multilevel"/>
    <w:tmpl w:val="C636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82486"/>
    <w:multiLevelType w:val="hybridMultilevel"/>
    <w:tmpl w:val="AD22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B3D26"/>
    <w:multiLevelType w:val="hybridMultilevel"/>
    <w:tmpl w:val="429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123951"/>
    <w:rsid w:val="00000222"/>
    <w:rsid w:val="00004865"/>
    <w:rsid w:val="000345B0"/>
    <w:rsid w:val="00062E4B"/>
    <w:rsid w:val="0011131B"/>
    <w:rsid w:val="00123951"/>
    <w:rsid w:val="00130AAF"/>
    <w:rsid w:val="00154F75"/>
    <w:rsid w:val="001F1540"/>
    <w:rsid w:val="00210D9E"/>
    <w:rsid w:val="002115E5"/>
    <w:rsid w:val="0027319A"/>
    <w:rsid w:val="002B6338"/>
    <w:rsid w:val="002E079D"/>
    <w:rsid w:val="00317468"/>
    <w:rsid w:val="003275CC"/>
    <w:rsid w:val="003575BA"/>
    <w:rsid w:val="00360BBF"/>
    <w:rsid w:val="003B124A"/>
    <w:rsid w:val="0046794F"/>
    <w:rsid w:val="004D42F2"/>
    <w:rsid w:val="004F3944"/>
    <w:rsid w:val="00517355"/>
    <w:rsid w:val="005651FB"/>
    <w:rsid w:val="005C4534"/>
    <w:rsid w:val="005E514E"/>
    <w:rsid w:val="00604EAE"/>
    <w:rsid w:val="006C5920"/>
    <w:rsid w:val="007063A5"/>
    <w:rsid w:val="00767DE1"/>
    <w:rsid w:val="00782DFF"/>
    <w:rsid w:val="00785ABE"/>
    <w:rsid w:val="007B7FAC"/>
    <w:rsid w:val="007C32BB"/>
    <w:rsid w:val="00821A06"/>
    <w:rsid w:val="0088263E"/>
    <w:rsid w:val="008913CA"/>
    <w:rsid w:val="008D6B0F"/>
    <w:rsid w:val="008D7FFA"/>
    <w:rsid w:val="009432C3"/>
    <w:rsid w:val="009E6167"/>
    <w:rsid w:val="00A041AE"/>
    <w:rsid w:val="00AC460C"/>
    <w:rsid w:val="00AC57F7"/>
    <w:rsid w:val="00AF1845"/>
    <w:rsid w:val="00B34C14"/>
    <w:rsid w:val="00B83CCF"/>
    <w:rsid w:val="00B945DB"/>
    <w:rsid w:val="00C06D22"/>
    <w:rsid w:val="00C62D88"/>
    <w:rsid w:val="00C75192"/>
    <w:rsid w:val="00C8053D"/>
    <w:rsid w:val="00CE6742"/>
    <w:rsid w:val="00D75ABE"/>
    <w:rsid w:val="00DD114C"/>
    <w:rsid w:val="00DF0F40"/>
    <w:rsid w:val="00E705A3"/>
    <w:rsid w:val="00ED5D1B"/>
    <w:rsid w:val="00EE314B"/>
    <w:rsid w:val="00F64F18"/>
    <w:rsid w:val="00FB722E"/>
    <w:rsid w:val="00FF455D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1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5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31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04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1AE"/>
  </w:style>
  <w:style w:type="paragraph" w:styleId="Footer">
    <w:name w:val="footer"/>
    <w:basedOn w:val="Normal"/>
    <w:link w:val="FooterChar"/>
    <w:uiPriority w:val="99"/>
    <w:semiHidden/>
    <w:unhideWhenUsed/>
    <w:rsid w:val="00A04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1AE"/>
  </w:style>
  <w:style w:type="paragraph" w:styleId="BalloonText">
    <w:name w:val="Balloon Text"/>
    <w:basedOn w:val="Normal"/>
    <w:link w:val="BalloonTextChar"/>
    <w:uiPriority w:val="99"/>
    <w:semiHidden/>
    <w:unhideWhenUsed/>
    <w:rsid w:val="00A0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mcuk.org/guidance/good_medical_practice.asp" TargetMode="External"/><Relationship Id="rId18" Type="http://schemas.openxmlformats.org/officeDocument/2006/relationships/hyperlink" Target="http://www.e-lfh.org.uk/programmes/safeguarding-children/" TargetMode="External"/><Relationship Id="rId26" Type="http://schemas.openxmlformats.org/officeDocument/2006/relationships/hyperlink" Target="http://www.taysideformulary.scot.nhs.uk/default.asp" TargetMode="External"/><Relationship Id="rId39" Type="http://schemas.openxmlformats.org/officeDocument/2006/relationships/hyperlink" Target="http://www.nhscareers.nhs.uk/explore-by-career/nursing/careers-in-nursing/district-nurs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.scot.nhs.uk/products/gateway/gate_desc.htm" TargetMode="External"/><Relationship Id="rId34" Type="http://schemas.openxmlformats.org/officeDocument/2006/relationships/hyperlink" Target="https://www.medicinescomplete.com/mc/bnfc/current/" TargetMode="External"/><Relationship Id="rId42" Type="http://schemas.openxmlformats.org/officeDocument/2006/relationships/hyperlink" Target="http://www.communitypharmacy.scot.nhs.uk/core_services/cms.html" TargetMode="External"/><Relationship Id="rId47" Type="http://schemas.openxmlformats.org/officeDocument/2006/relationships/hyperlink" Target="http://www.healthcareimprovementscotland.org/our_work/governance_and_assurance/death_certification.asp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google.co.uk/url?sa=i&amp;rct=j&amp;q=&amp;esrc=s&amp;frm=1&amp;source=images&amp;cd=&amp;cad=rja&amp;uact=8&amp;ved=0CAcQjRxqFQoTCNKY2MS-isgCFUKJGgodnG4KjA&amp;url=http://www.nesdentalcpd.co.uk/&amp;psig=AFQjCNGkFpmAgbU_JarADTkFlHBF1NUHRg&amp;ust=1443006037322871" TargetMode="External"/><Relationship Id="rId12" Type="http://schemas.openxmlformats.org/officeDocument/2006/relationships/hyperlink" Target="http://www.gmc-uk.org/doctors/WelcomeUK.asp" TargetMode="External"/><Relationship Id="rId17" Type="http://schemas.openxmlformats.org/officeDocument/2006/relationships/hyperlink" Target="http://www.gmcuk.org/doctors/welcomeuklogin/Default.aspx" TargetMode="External"/><Relationship Id="rId25" Type="http://schemas.openxmlformats.org/officeDocument/2006/relationships/hyperlink" Target="http://www.ggcprescribing.org.uk/" TargetMode="External"/><Relationship Id="rId33" Type="http://schemas.openxmlformats.org/officeDocument/2006/relationships/hyperlink" Target="http://www.bnf.org/" TargetMode="External"/><Relationship Id="rId38" Type="http://schemas.openxmlformats.org/officeDocument/2006/relationships/hyperlink" Target="http://www.nhscareers.nhs.uk/explore-by-career/nursing/careers-in-nursing/general-practice-nursing/" TargetMode="External"/><Relationship Id="rId46" Type="http://schemas.openxmlformats.org/officeDocument/2006/relationships/hyperlink" Target="https://www.gov.uk/government/collections/fit-no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ppraisal.nes.scot.nhs.uk/help-me-with/appraisal/appraisal-this-year/gp.aspx" TargetMode="External"/><Relationship Id="rId20" Type="http://schemas.openxmlformats.org/officeDocument/2006/relationships/hyperlink" Target="http://www.refhelp.scot.nhs.uk" TargetMode="External"/><Relationship Id="rId29" Type="http://schemas.openxmlformats.org/officeDocument/2006/relationships/hyperlink" Target="http://www.communitypharmacy.scot.nhs.uk/nhs_boards/NHS_Forth_Valley/redesign/guidance/documents/FV_Formulary_Jan15v3_13thEdition_FinalONE_updatedpdf.pdf" TargetMode="External"/><Relationship Id="rId41" Type="http://schemas.openxmlformats.org/officeDocument/2006/relationships/hyperlink" Target="http://www.nhscareers.nhs.uk/explore-by-career/wider-healthcare-team/careers-in-the-wider-healthcare-team/clinical-support-staff/physician-associat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c-uk.org/doctors/WelcomeUK.asp" TargetMode="External"/><Relationship Id="rId24" Type="http://schemas.openxmlformats.org/officeDocument/2006/relationships/hyperlink" Target="http://www.nhsgrampian.org/nhsgrampian/GMM_home_new.jsp?pContentID=4244&amp;p_applic=CCC&amp;pElementID=494&amp;pMenuID=464&amp;p_service=Content.show" TargetMode="External"/><Relationship Id="rId32" Type="http://schemas.openxmlformats.org/officeDocument/2006/relationships/hyperlink" Target="http://www.nhshighland.scot.nhs.uk/Publications/Documents/Guidelines/Formulary/Highland%20Formulary.pdf" TargetMode="External"/><Relationship Id="rId37" Type="http://schemas.openxmlformats.org/officeDocument/2006/relationships/hyperlink" Target="http://www.nhs24.com/explained/services/" TargetMode="External"/><Relationship Id="rId40" Type="http://schemas.openxmlformats.org/officeDocument/2006/relationships/hyperlink" Target="http://www.nhscareers.nhs.uk/explore-by-career/nursing/careers-in-nursing/health-visiting/" TargetMode="External"/><Relationship Id="rId45" Type="http://schemas.openxmlformats.org/officeDocument/2006/relationships/hyperlink" Target="https://www.youtube.com/watch?v=zR1t0Nk8gk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mcuk.org" TargetMode="External"/><Relationship Id="rId23" Type="http://schemas.openxmlformats.org/officeDocument/2006/relationships/hyperlink" Target="http://www.ljf.scot.nhs.uk/Pages/default.aspx" TargetMode="External"/><Relationship Id="rId28" Type="http://schemas.openxmlformats.org/officeDocument/2006/relationships/hyperlink" Target="http://www.fifeadtc.scot.nhs.uk/fife-joint-formulary.aspx" TargetMode="External"/><Relationship Id="rId36" Type="http://schemas.openxmlformats.org/officeDocument/2006/relationships/hyperlink" Target="http://www.isdscotland.org/Health-Topics/General-Practice/Quality-And-Outcomes-Framework/" TargetMode="External"/><Relationship Id="rId49" Type="http://schemas.openxmlformats.org/officeDocument/2006/relationships/hyperlink" Target="http://www.rcgp.org.uk/" TargetMode="External"/><Relationship Id="rId10" Type="http://schemas.openxmlformats.org/officeDocument/2006/relationships/hyperlink" Target="http://www.gov.scot/Topics/Health/About/NHS-Scotland" TargetMode="External"/><Relationship Id="rId19" Type="http://schemas.openxmlformats.org/officeDocument/2006/relationships/hyperlink" Target="http://www.rcpch.ac.uk/training-examinations/education/safeguarding-children-and-young-people-sgc-educational-programmes" TargetMode="External"/><Relationship Id="rId31" Type="http://schemas.openxmlformats.org/officeDocument/2006/relationships/hyperlink" Target="http://www.medednhsl.com/meded/nhsl_formulary/index.asp" TargetMode="External"/><Relationship Id="rId44" Type="http://schemas.openxmlformats.org/officeDocument/2006/relationships/hyperlink" Target="https://www.youtube.com/watch?v=mbsqlV_2B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tland.org/live-and-work-in-scotland/living-in-scotland/" TargetMode="External"/><Relationship Id="rId14" Type="http://schemas.openxmlformats.org/officeDocument/2006/relationships/hyperlink" Target="http://www.gmc-uk.org/guidance/ethical_guidance.asp" TargetMode="External"/><Relationship Id="rId22" Type="http://schemas.openxmlformats.org/officeDocument/2006/relationships/hyperlink" Target="http://www.healthcareimprovementscotland.org/our_work/cancer_care_improvement/programme_resources/scottish_referral_guidelines.aspx" TargetMode="External"/><Relationship Id="rId27" Type="http://schemas.openxmlformats.org/officeDocument/2006/relationships/hyperlink" Target="http://www.dgprescribingmatters.co.uk/documents/Formulary_2015.pdf" TargetMode="External"/><Relationship Id="rId30" Type="http://schemas.openxmlformats.org/officeDocument/2006/relationships/hyperlink" Target="http://www.nhsaaa.net/services-index/p-prescribing.aspx" TargetMode="External"/><Relationship Id="rId35" Type="http://schemas.openxmlformats.org/officeDocument/2006/relationships/hyperlink" Target="https://www.medicinescomplete.com/mc/" TargetMode="External"/><Relationship Id="rId43" Type="http://schemas.openxmlformats.org/officeDocument/2006/relationships/hyperlink" Target="https://www.youtube.com/watch?v=kpYUMi0hNyo" TargetMode="External"/><Relationship Id="rId48" Type="http://schemas.openxmlformats.org/officeDocument/2006/relationships/hyperlink" Target="http://bma.org.uk/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AntheaL</dc:creator>
  <cp:lastModifiedBy>RachaelD</cp:lastModifiedBy>
  <cp:revision>2</cp:revision>
  <cp:lastPrinted>2015-10-14T13:46:00Z</cp:lastPrinted>
  <dcterms:created xsi:type="dcterms:W3CDTF">2015-12-01T14:23:00Z</dcterms:created>
  <dcterms:modified xsi:type="dcterms:W3CDTF">2015-12-01T14:23:00Z</dcterms:modified>
</cp:coreProperties>
</file>